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FF" w:rsidRDefault="00BE2AFF" w:rsidP="00BE2AFF">
      <w:pPr>
        <w:spacing w:line="360" w:lineRule="auto"/>
        <w:ind w:firstLine="851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Лекция 4</w:t>
      </w:r>
    </w:p>
    <w:p w:rsidR="00BE2AFF" w:rsidRDefault="00BE2AFF" w:rsidP="00BE2AFF">
      <w:pPr>
        <w:spacing w:line="360" w:lineRule="auto"/>
        <w:ind w:firstLine="851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Порядок идентификации экологических аспектов</w:t>
      </w:r>
    </w:p>
    <w:p w:rsidR="00BE2AFF" w:rsidRDefault="00BE2AFF" w:rsidP="00BE2AFF">
      <w:pPr>
        <w:spacing w:line="360" w:lineRule="auto"/>
        <w:ind w:firstLine="851"/>
        <w:rPr>
          <w:color w:val="000000"/>
          <w:sz w:val="28"/>
          <w:szCs w:val="28"/>
        </w:rPr>
      </w:pPr>
      <w:r w:rsidRPr="00032CCF">
        <w:rPr>
          <w:bCs/>
          <w:color w:val="000000"/>
          <w:sz w:val="28"/>
          <w:szCs w:val="28"/>
        </w:rPr>
        <w:t xml:space="preserve">При </w:t>
      </w:r>
      <w:r w:rsidRPr="00032CCF">
        <w:rPr>
          <w:color w:val="000000"/>
          <w:sz w:val="28"/>
          <w:szCs w:val="28"/>
        </w:rPr>
        <w:t xml:space="preserve">составлении </w:t>
      </w:r>
      <w:r w:rsidRPr="00032CCF">
        <w:rPr>
          <w:bCs/>
          <w:color w:val="000000"/>
          <w:sz w:val="28"/>
          <w:szCs w:val="28"/>
        </w:rPr>
        <w:t xml:space="preserve">Реестров </w:t>
      </w:r>
      <w:r w:rsidRPr="00032CCF">
        <w:rPr>
          <w:color w:val="000000"/>
          <w:sz w:val="28"/>
          <w:szCs w:val="28"/>
        </w:rPr>
        <w:t xml:space="preserve">экологических аспектов используются: </w:t>
      </w:r>
      <w:r w:rsidRPr="00032CCF">
        <w:rPr>
          <w:color w:val="000000"/>
          <w:sz w:val="28"/>
          <w:szCs w:val="28"/>
        </w:rPr>
        <w:br/>
        <w:t xml:space="preserve">- блок-схемы процессов; </w:t>
      </w:r>
      <w:r w:rsidRPr="00032CCF">
        <w:rPr>
          <w:color w:val="000000"/>
          <w:sz w:val="28"/>
          <w:szCs w:val="28"/>
        </w:rPr>
        <w:br/>
        <w:t xml:space="preserve">- материально-сырьевые балансы; </w:t>
      </w:r>
      <w:r w:rsidRPr="00032CCF">
        <w:rPr>
          <w:color w:val="000000"/>
          <w:sz w:val="28"/>
          <w:szCs w:val="28"/>
        </w:rPr>
        <w:br/>
        <w:t xml:space="preserve">- материальные балансы технологических процессов; </w:t>
      </w:r>
      <w:r w:rsidRPr="00032CCF">
        <w:rPr>
          <w:color w:val="000000"/>
          <w:sz w:val="28"/>
          <w:szCs w:val="28"/>
        </w:rPr>
        <w:br/>
        <w:t xml:space="preserve">- нормативные правовые акты, распространяющиеся на экологическую деятельность организации: </w:t>
      </w:r>
      <w:r w:rsidRPr="00032CCF">
        <w:rPr>
          <w:color w:val="000000"/>
          <w:sz w:val="28"/>
          <w:szCs w:val="28"/>
        </w:rPr>
        <w:br/>
        <w:t xml:space="preserve">- требования и пожелания заинтересованных сторон; </w:t>
      </w:r>
      <w:r w:rsidRPr="00032CCF">
        <w:rPr>
          <w:color w:val="000000"/>
          <w:sz w:val="28"/>
          <w:szCs w:val="28"/>
        </w:rPr>
        <w:br/>
        <w:t xml:space="preserve">- требования, установленные самой организацией; </w:t>
      </w:r>
      <w:r w:rsidRPr="00032CCF">
        <w:rPr>
          <w:color w:val="000000"/>
          <w:sz w:val="28"/>
          <w:szCs w:val="28"/>
        </w:rPr>
        <w:br/>
        <w:t xml:space="preserve">- данные мониторинга и измерений </w:t>
      </w:r>
      <w:r w:rsidRPr="00032CCF">
        <w:rPr>
          <w:bCs/>
          <w:color w:val="000000"/>
          <w:sz w:val="28"/>
          <w:szCs w:val="28"/>
        </w:rPr>
        <w:t xml:space="preserve">воздействий </w:t>
      </w:r>
      <w:r w:rsidRPr="00032CCF">
        <w:rPr>
          <w:color w:val="000000"/>
          <w:sz w:val="28"/>
          <w:szCs w:val="28"/>
        </w:rPr>
        <w:t>экологических аспектов.</w:t>
      </w:r>
    </w:p>
    <w:p w:rsidR="00BE2AFF" w:rsidRPr="00032CCF" w:rsidRDefault="00BE2AFF" w:rsidP="00BE2AFF">
      <w:pPr>
        <w:spacing w:line="360" w:lineRule="auto"/>
        <w:ind w:firstLine="85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промышленного предприятия наиболее ясную картину  экологического состояния дает материальный баланс.</w:t>
      </w:r>
    </w:p>
    <w:p w:rsidR="00BE2AFF" w:rsidRDefault="00BE2AFF" w:rsidP="00BE2AFF">
      <w:pPr>
        <w:spacing w:line="360" w:lineRule="auto"/>
        <w:ind w:firstLine="851"/>
        <w:rPr>
          <w:color w:val="000000"/>
          <w:sz w:val="28"/>
          <w:szCs w:val="28"/>
        </w:rPr>
      </w:pPr>
      <w:r w:rsidRPr="00032CCF">
        <w:rPr>
          <w:color w:val="000000"/>
          <w:sz w:val="28"/>
          <w:szCs w:val="28"/>
        </w:rPr>
        <w:t xml:space="preserve">Реестр один раз в год пересматривается с учетом достигнутых </w:t>
      </w:r>
      <w:proofErr w:type="spellStart"/>
      <w:proofErr w:type="gramStart"/>
      <w:r w:rsidRPr="00032CCF">
        <w:rPr>
          <w:color w:val="000000"/>
          <w:sz w:val="28"/>
          <w:szCs w:val="28"/>
        </w:rPr>
        <w:t>резуль-татов</w:t>
      </w:r>
      <w:proofErr w:type="spellEnd"/>
      <w:proofErr w:type="gramEnd"/>
      <w:r w:rsidRPr="00032CCF">
        <w:rPr>
          <w:color w:val="000000"/>
          <w:sz w:val="28"/>
          <w:szCs w:val="28"/>
        </w:rPr>
        <w:t>; новой продукции (услуг) предприятия; изменений в технологическом процессе; изменений в структуре управления организацией и т.д.</w:t>
      </w:r>
    </w:p>
    <w:p w:rsidR="00BE2AFF" w:rsidRPr="00614E89" w:rsidRDefault="00BE2AFF" w:rsidP="00BE2AFF">
      <w:pPr>
        <w:spacing w:line="360" w:lineRule="auto"/>
        <w:ind w:firstLine="851"/>
        <w:rPr>
          <w:color w:val="FF00FF"/>
        </w:rPr>
      </w:pPr>
      <w:r w:rsidRPr="00254D3F"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</w:rPr>
        <w:t xml:space="preserve">роцедура определения значимости экологических аспектов включает 4 </w:t>
      </w:r>
      <w:r>
        <w:rPr>
          <w:bCs/>
          <w:color w:val="000000"/>
          <w:sz w:val="28"/>
          <w:szCs w:val="28"/>
        </w:rPr>
        <w:lastRenderedPageBreak/>
        <w:t>этапа.</w:t>
      </w:r>
      <w:r w:rsidRPr="00614E89">
        <w:rPr>
          <w:noProof/>
          <w:color w:val="FF00FF"/>
        </w:rPr>
      </w:r>
      <w:r w:rsidRPr="00614E89">
        <w:rPr>
          <w:color w:val="FF00FF"/>
        </w:rPr>
        <w:pict>
          <v:group id="_x0000_s1026" editas="canvas" style="width:467.75pt;height:343.8pt;mso-position-horizontal-relative:char;mso-position-vertical-relative:line" coordorigin="2281,6966" coordsize="11073,803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281;top:6966;width:11073;height:8034" o:preferrelative="f">
              <v:fill o:detectmouseclick="t"/>
              <v:path o:extrusionok="t" o:connecttype="none"/>
              <o:lock v:ext="edit" text="t"/>
            </v:shape>
            <v:rect id="_x0000_s1028" style="position:absolute;left:2846;top:6966;width:10164;height:1052;v-text-anchor:middle" filled="f" fillcolor="#bbe0e3" stroked="f">
              <v:textbox style="mso-next-textbox:#_x0000_s1028" inset="1.67639mm,.83819mm,1.67639mm,.83819mm">
                <w:txbxContent>
                  <w:p w:rsidR="00BE2AFF" w:rsidRPr="00254D3F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color w:val="000000"/>
                        <w:sz w:val="28"/>
                        <w:szCs w:val="28"/>
                      </w:rPr>
                    </w:pPr>
                  </w:p>
                  <w:p w:rsidR="00BE2AFF" w:rsidRPr="006234B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333399"/>
                        <w:sz w:val="32"/>
                        <w:szCs w:val="48"/>
                      </w:rPr>
                    </w:pPr>
                  </w:p>
                </w:txbxContent>
              </v:textbox>
            </v:rect>
            <v:group id="_x0000_s1029" style="position:absolute;left:4992;top:8090;width:8362;height:6585" coordorigin="3421,5274" coordsize="7350,7866">
              <v:rect id="_x0000_s1030" style="position:absolute;left:4401;top:6910;width:5400;height:1620" filled="f" fillcolor="#bbe0e3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4581;top:7269;width:2340;height:900">
                <v:textbox style="mso-next-textbox:#_x0000_s1031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5"/>
                          <w:szCs w:val="8"/>
                        </w:rPr>
                      </w:pPr>
                    </w:p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18"/>
                          <w:szCs w:val="28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  <w:t>Экологические</w:t>
                      </w:r>
                    </w:p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18"/>
                          <w:szCs w:val="28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  <w:t>аспекты</w:t>
                      </w:r>
                    </w:p>
                  </w:txbxContent>
                </v:textbox>
              </v:shape>
              <v:shape id="_x0000_s1032" type="#_x0000_t202" style="position:absolute;left:7281;top:7269;width:2340;height:900">
                <v:textbox style="mso-next-textbox:#_x0000_s1032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18"/>
                          <w:szCs w:val="28"/>
                        </w:rPr>
                      </w:pPr>
                    </w:p>
                  </w:txbxContent>
                </v:textbox>
              </v:shape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_x0000_s1033" type="#_x0000_t110" style="position:absolute;left:5481;top:8920;width:3240;height:1554" filled="f" fillcolor="#f90">
                <v:textbox style="mso-next-textbox:#_x0000_s1033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Cs w:val="36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6"/>
                        </w:rPr>
                        <w:t>Оценка значимости воздействия</w:t>
                      </w:r>
                    </w:p>
                  </w:txbxContent>
                </v:textbox>
              </v:shape>
              <v:oval id="_x0000_s1034" style="position:absolute;left:3421;top:10430;width:1980;height:1080" filled="f" fillcolor="#cfc">
                <v:textbox style="mso-next-textbox:#_x0000_s1034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Cs w:val="36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6"/>
                        </w:rPr>
                        <w:t>Значимые аспекты</w:t>
                      </w:r>
                    </w:p>
                  </w:txbxContent>
                </v:textbox>
              </v:oval>
              <v:oval id="_x0000_s1035" style="position:absolute;left:8791;top:10420;width:1980;height:1080" filled="f" fillcolor="#ff9">
                <v:textbox style="mso-next-textbox:#_x0000_s1035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Cs w:val="36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6"/>
                        </w:rPr>
                        <w:t>Незначимые аспекты</w:t>
                      </w:r>
                    </w:p>
                  </w:txbxContent>
                </v:textbox>
              </v:oval>
              <v:line id="_x0000_s1036" style="position:absolute" from="4421,9700" to="5501,9700" strokeweight="1.25pt"/>
              <v:line id="_x0000_s1037" style="position:absolute" from="4421,9700" to="4421,10420">
                <v:stroke endarrow="block"/>
              </v:line>
              <v:line id="_x0000_s1038" style="position:absolute;flip:y" from="7101,8524" to="7101,8932">
                <v:stroke startarrow="block"/>
              </v:line>
              <v:line id="_x0000_s1039" style="position:absolute" from="6921,7689" to="7281,7689">
                <v:stroke endarrow="block"/>
              </v:line>
              <v:line id="_x0000_s1040" style="position:absolute" from="8711,9700" to="9791,9700"/>
              <v:line id="_x0000_s1041" style="position:absolute" from="9791,9700" to="9791,10420">
                <v:stroke endarrow="block"/>
              </v:line>
              <v:shape id="_x0000_s1042" type="#_x0000_t202" style="position:absolute;left:4941;top:9250;width:540;height:360" stroked="f">
                <v:textbox style="mso-next-textbox:#_x0000_s1042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  <w:t>Да</w:t>
                      </w:r>
                    </w:p>
                  </w:txbxContent>
                </v:textbox>
              </v:shape>
              <v:shape id="_x0000_s1043" type="#_x0000_t202" style="position:absolute;left:8721;top:9250;width:660;height:360" stroked="f">
                <v:textbox style="mso-next-textbox:#_x0000_s1043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  <w:t>Нет</w:t>
                      </w:r>
                    </w:p>
                  </w:txbxContent>
                </v:textbox>
              </v:shape>
              <v:line id="_x0000_s1044" style="position:absolute" from="9801,11500" to="9801,12220">
                <v:stroke endarrow="block"/>
              </v:line>
              <v:rect id="_x0000_s1045" style="position:absolute;left:9081;top:12190;width:1440;height:900" filled="f" fillcolor="#f9c">
                <v:textbox style="mso-next-textbox:#_x0000_s1045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16"/>
                        </w:rPr>
                      </w:pPr>
                    </w:p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Cs w:val="36"/>
                        </w:rPr>
                      </w:pPr>
                      <w:r w:rsidRPr="006234BC">
                        <w:rPr>
                          <w:rFonts w:ascii="Arial" w:hAnsi="Arial" w:cs="Arial"/>
                          <w:b/>
                          <w:bCs/>
                          <w:color w:val="000000"/>
                          <w:sz w:val="16"/>
                        </w:rPr>
                        <w:t>Контроль</w:t>
                      </w:r>
                    </w:p>
                  </w:txbxContent>
                </v:textbox>
              </v:rect>
              <v:line id="_x0000_s1046" style="position:absolute" from="4401,11510" to="4401,12230">
                <v:stroke endarrow="block"/>
              </v:line>
              <v:rect id="_x0000_s1047" style="position:absolute;left:3681;top:12240;width:1440;height:900" filled="f" fillcolor="aqua" strokecolor="#3cc">
                <v:textbox style="mso-next-textbox:#_x0000_s1047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16"/>
                        </w:rPr>
                      </w:pPr>
                    </w:p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Cs w:val="36"/>
                        </w:rPr>
                      </w:pPr>
                    </w:p>
                  </w:txbxContent>
                </v:textbox>
              </v:rect>
              <v:shape id="_x0000_s1048" type="#_x0000_t202" style="position:absolute;left:4941;top:5274;width:4320;height:1260" filled="f" fillcolor="gray">
                <v:textbox style="mso-next-textbox:#_x0000_s1048" inset="1.67639mm,.83819mm,1.67639mm,.83819mm">
                  <w:txbxContent>
                    <w:p w:rsidR="00BE2AFF" w:rsidRPr="006234BC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18"/>
                          <w:szCs w:val="28"/>
                        </w:rPr>
                      </w:pPr>
                    </w:p>
                    <w:p w:rsidR="00BE2AFF" w:rsidRPr="00254D3F" w:rsidRDefault="00BE2AFF" w:rsidP="00BE2AFF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21"/>
                          <w:szCs w:val="32"/>
                        </w:rPr>
                      </w:pPr>
                      <w:r w:rsidRPr="00254D3F">
                        <w:rPr>
                          <w:rFonts w:ascii="Arial" w:hAnsi="Arial" w:cs="Arial"/>
                          <w:b/>
                          <w:bCs/>
                          <w:color w:val="000000"/>
                          <w:sz w:val="21"/>
                          <w:szCs w:val="32"/>
                        </w:rPr>
                        <w:t>Вид деятельности или процесс</w:t>
                      </w:r>
                    </w:p>
                  </w:txbxContent>
                </v:textbox>
              </v:shape>
              <v:line id="_x0000_s1049" style="position:absolute" from="7101,6534" to="7101,6894">
                <v:stroke endarrow="block"/>
              </v:line>
            </v:group>
            <v:shape id="_x0000_s1050" type="#_x0000_t202" style="position:absolute;left:2281;top:7914;width:2711;height:7086" stroked="f">
              <v:textbox style="mso-next-textbox:#_x0000_s1050" inset="1.67639mm,.83819mm,1.67639mm,.83819mm">
                <w:txbxContent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szCs w:val="22"/>
                      </w:rPr>
                      <w:t>Этап 1</w:t>
                    </w:r>
                    <w:r w:rsidRPr="0039224C"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t xml:space="preserve"> 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t xml:space="preserve">Выбор вида деятельности или процесса 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szCs w:val="22"/>
                      </w:rPr>
                      <w:t xml:space="preserve">Этап 2 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t xml:space="preserve">   Идентификация экологических аспектов. Идентификация воздействий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szCs w:val="22"/>
                      </w:rPr>
                      <w:t>Этап 3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t>Оценка значимости воздействий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b/>
                        <w:bCs/>
                        <w:color w:val="000000"/>
                        <w:sz w:val="22"/>
                        <w:szCs w:val="22"/>
                      </w:rPr>
                      <w:t>Этап 4</w:t>
                    </w:r>
                    <w:r w:rsidRPr="0039224C"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t xml:space="preserve">   </w:t>
                    </w:r>
                  </w:p>
                  <w:p w:rsidR="00BE2AFF" w:rsidRPr="0039224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</w:pPr>
                    <w:r w:rsidRPr="0039224C">
                      <w:rPr>
                        <w:rFonts w:ascii="Arial" w:hAnsi="Arial" w:cs="Arial"/>
                        <w:color w:val="000000"/>
                        <w:sz w:val="22"/>
                        <w:szCs w:val="22"/>
                      </w:rPr>
                      <w:t>Идентификация значимых аспектов</w:t>
                    </w:r>
                  </w:p>
                </w:txbxContent>
              </v:textbox>
            </v:shape>
            <v:line id="_x0000_s1051" style="position:absolute" from="3570,9056" to="3570,9320">
              <v:stroke endarrow="block"/>
            </v:line>
            <v:line id="_x0000_s1052" style="position:absolute" from="3570,11933" to="3570,12372">
              <v:stroke endarrow="block"/>
            </v:line>
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<v:stroke joinstyle="miter"/>
              <v:path o:extrusionok="f" o:connecttype="custom" o:connectlocs="10800,0;0,10800;10800,19890;21600,10800" textboxrect="0,3675,18595,18022"/>
            </v:shapetype>
            <v:shape id="_x0000_s1053" type="#_x0000_t115" style="position:absolute;left:4905;top:13888;width:1969;height:1103;mso-wrap-style:none;v-text-anchor:middle" filled="f" fillcolor="#bbe0e3">
              <v:textbox style="mso-next-textbox:#_x0000_s1053" inset="1.67639mm,.83819mm,1.67639mm,.83819mm">
                <w:txbxContent>
                  <w:p w:rsidR="00BE2AFF" w:rsidRPr="006234BC" w:rsidRDefault="00BE2AFF" w:rsidP="00BE2AFF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</w:pPr>
                    <w:r w:rsidRPr="006234BC">
                      <w:rPr>
                        <w:rFonts w:ascii="Arial" w:hAnsi="Arial" w:cs="Arial"/>
                        <w:b/>
                        <w:bCs/>
                        <w:color w:val="000000"/>
                        <w:sz w:val="21"/>
                        <w:szCs w:val="32"/>
                      </w:rPr>
                      <w:t>Управление</w:t>
                    </w:r>
                  </w:p>
                </w:txbxContent>
              </v:textbox>
            </v:shape>
            <v:line id="_x0000_s1054" style="position:absolute" from="3570,10812" to="3570,11075">
              <v:stroke endarrow="block"/>
            </v:line>
            <v:line id="_x0000_s1055" style="position:absolute;flip:y" from="12730,10988" to="12730,12391">
              <v:stroke dashstyle="longDash"/>
            </v:line>
            <v:line id="_x0000_s1056" style="position:absolute;flip:x" from="9173,10988" to="12730,10988">
              <v:stroke dashstyle="longDash" endarrow="open"/>
            </v:line>
            <w10:wrap type="none"/>
            <w10:anchorlock/>
          </v:group>
        </w:pict>
      </w:r>
    </w:p>
    <w:p w:rsidR="00BE2AFF" w:rsidRPr="00614E89" w:rsidRDefault="00BE2AFF" w:rsidP="00BE2AFF">
      <w:pPr>
        <w:spacing w:line="360" w:lineRule="auto"/>
        <w:rPr>
          <w:color w:val="FF00FF"/>
        </w:rPr>
      </w:pPr>
    </w:p>
    <w:p w:rsidR="00BE2AFF" w:rsidRPr="00614E89" w:rsidRDefault="00BE2AFF" w:rsidP="00BE2AFF">
      <w:pPr>
        <w:tabs>
          <w:tab w:val="left" w:pos="6720"/>
        </w:tabs>
        <w:spacing w:line="360" w:lineRule="auto"/>
        <w:rPr>
          <w:color w:val="FF00FF"/>
          <w:sz w:val="28"/>
          <w:szCs w:val="28"/>
        </w:rPr>
      </w:pPr>
    </w:p>
    <w:p w:rsidR="00BE2AFF" w:rsidRPr="00BA5891" w:rsidRDefault="00BE2AFF" w:rsidP="00BE2AFF">
      <w:pPr>
        <w:tabs>
          <w:tab w:val="left" w:pos="6720"/>
        </w:tabs>
        <w:spacing w:line="360" w:lineRule="auto"/>
        <w:jc w:val="center"/>
        <w:rPr>
          <w:color w:val="000000"/>
          <w:sz w:val="28"/>
          <w:szCs w:val="28"/>
        </w:rPr>
      </w:pPr>
      <w:r w:rsidRPr="00BA5891">
        <w:rPr>
          <w:color w:val="000000"/>
          <w:sz w:val="28"/>
          <w:szCs w:val="28"/>
        </w:rPr>
        <w:t>1.2.3 Соответствие законодательным и иным требованиям</w:t>
      </w:r>
    </w:p>
    <w:p w:rsidR="00BE2AFF" w:rsidRPr="00BA5891" w:rsidRDefault="00BE2AFF" w:rsidP="00BE2AFF">
      <w:pPr>
        <w:tabs>
          <w:tab w:val="left" w:pos="6720"/>
        </w:tabs>
        <w:spacing w:line="360" w:lineRule="auto"/>
        <w:jc w:val="center"/>
        <w:rPr>
          <w:color w:val="000000"/>
          <w:sz w:val="28"/>
          <w:szCs w:val="28"/>
        </w:rPr>
      </w:pPr>
    </w:p>
    <w:p w:rsidR="00BE2AFF" w:rsidRPr="00BA5891" w:rsidRDefault="00BE2AFF" w:rsidP="00BE2AFF">
      <w:pPr>
        <w:tabs>
          <w:tab w:val="left" w:pos="720"/>
        </w:tabs>
        <w:spacing w:line="360" w:lineRule="auto"/>
        <w:jc w:val="both"/>
        <w:rPr>
          <w:color w:val="000000"/>
          <w:sz w:val="28"/>
          <w:szCs w:val="28"/>
        </w:rPr>
      </w:pPr>
      <w:r w:rsidRPr="00BA5891">
        <w:rPr>
          <w:b/>
          <w:bCs/>
          <w:color w:val="000000"/>
          <w:sz w:val="28"/>
          <w:szCs w:val="28"/>
        </w:rPr>
        <w:tab/>
      </w:r>
      <w:r w:rsidRPr="00BA5891">
        <w:rPr>
          <w:bCs/>
          <w:color w:val="000000"/>
          <w:sz w:val="28"/>
          <w:szCs w:val="28"/>
        </w:rPr>
        <w:t>Цель</w:t>
      </w:r>
      <w:r w:rsidRPr="00BA5891">
        <w:rPr>
          <w:color w:val="000000"/>
          <w:sz w:val="28"/>
          <w:szCs w:val="28"/>
        </w:rPr>
        <w:t xml:space="preserve"> -  обеспечить соответствие документов  </w:t>
      </w:r>
      <w:proofErr w:type="gramStart"/>
      <w:r w:rsidRPr="00BA5891">
        <w:rPr>
          <w:color w:val="000000"/>
          <w:sz w:val="28"/>
          <w:szCs w:val="28"/>
        </w:rPr>
        <w:t>законодательным</w:t>
      </w:r>
      <w:proofErr w:type="gramEnd"/>
      <w:r w:rsidRPr="00BA5891">
        <w:rPr>
          <w:color w:val="000000"/>
          <w:sz w:val="28"/>
          <w:szCs w:val="28"/>
        </w:rPr>
        <w:t xml:space="preserve"> </w:t>
      </w:r>
      <w:proofErr w:type="spellStart"/>
      <w:r w:rsidRPr="00BA5891">
        <w:rPr>
          <w:color w:val="000000"/>
          <w:sz w:val="28"/>
          <w:szCs w:val="28"/>
        </w:rPr>
        <w:t>предписа-ниям</w:t>
      </w:r>
      <w:proofErr w:type="spellEnd"/>
      <w:r w:rsidRPr="00BA5891">
        <w:rPr>
          <w:color w:val="000000"/>
          <w:sz w:val="28"/>
          <w:szCs w:val="28"/>
        </w:rPr>
        <w:t xml:space="preserve">. Для этого необходимо определить ответственного за соблюдение </w:t>
      </w:r>
      <w:proofErr w:type="spellStart"/>
      <w:proofErr w:type="gramStart"/>
      <w:r w:rsidRPr="00BA5891">
        <w:rPr>
          <w:color w:val="000000"/>
          <w:sz w:val="28"/>
          <w:szCs w:val="28"/>
        </w:rPr>
        <w:t>со-ответствия</w:t>
      </w:r>
      <w:proofErr w:type="spellEnd"/>
      <w:proofErr w:type="gramEnd"/>
      <w:r w:rsidRPr="00BA5891">
        <w:rPr>
          <w:color w:val="000000"/>
          <w:sz w:val="28"/>
          <w:szCs w:val="28"/>
        </w:rPr>
        <w:t xml:space="preserve"> и определения способов их применения в условиях организации и сформировать обзор – регистр предписаний, который должен включать в себя  общие обязательные требования, решения и разрешения органов </w:t>
      </w:r>
      <w:proofErr w:type="spellStart"/>
      <w:r w:rsidRPr="00BA5891">
        <w:rPr>
          <w:color w:val="000000"/>
          <w:sz w:val="28"/>
          <w:szCs w:val="28"/>
        </w:rPr>
        <w:t>государ-ственного</w:t>
      </w:r>
      <w:proofErr w:type="spellEnd"/>
      <w:r w:rsidRPr="00BA5891">
        <w:rPr>
          <w:color w:val="000000"/>
          <w:sz w:val="28"/>
          <w:szCs w:val="28"/>
        </w:rPr>
        <w:t xml:space="preserve"> управления в области ООС, а также экологические предписания, относящиеся к новой и планируемой деятельности. </w:t>
      </w:r>
    </w:p>
    <w:p w:rsidR="00BE2AFF" w:rsidRPr="00BA5891" w:rsidRDefault="00BE2AFF" w:rsidP="00BE2AFF">
      <w:pPr>
        <w:tabs>
          <w:tab w:val="left" w:pos="720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BA5891">
        <w:rPr>
          <w:color w:val="000000"/>
          <w:sz w:val="28"/>
          <w:szCs w:val="28"/>
        </w:rPr>
        <w:t>Так,</w:t>
      </w:r>
      <w:r>
        <w:rPr>
          <w:color w:val="000000"/>
          <w:sz w:val="28"/>
          <w:szCs w:val="28"/>
        </w:rPr>
        <w:t xml:space="preserve"> </w:t>
      </w:r>
      <w:r w:rsidRPr="00BA5891">
        <w:rPr>
          <w:color w:val="000000"/>
          <w:sz w:val="28"/>
          <w:szCs w:val="28"/>
        </w:rPr>
        <w:t xml:space="preserve">ответственным за соответствие документов законодательным предписаниям в области охраны окружающей среды может быть назначен инженер по охране окружающей среды, который должен составить регистр, </w:t>
      </w:r>
      <w:r w:rsidRPr="00BA5891">
        <w:rPr>
          <w:color w:val="000000"/>
          <w:sz w:val="28"/>
          <w:szCs w:val="28"/>
        </w:rPr>
        <w:lastRenderedPageBreak/>
        <w:t xml:space="preserve">включающий все законодательные и нормативно-технические акты, относящиеся к сфере </w:t>
      </w:r>
      <w:r>
        <w:rPr>
          <w:color w:val="000000"/>
          <w:sz w:val="28"/>
          <w:szCs w:val="28"/>
        </w:rPr>
        <w:t>горного производства.</w:t>
      </w:r>
    </w:p>
    <w:p w:rsidR="00BE2AFF" w:rsidRPr="00237E69" w:rsidRDefault="00BE2AFF" w:rsidP="00BE2AFF">
      <w:pPr>
        <w:spacing w:line="360" w:lineRule="auto"/>
        <w:ind w:firstLine="709"/>
        <w:jc w:val="both"/>
        <w:rPr>
          <w:color w:val="FF0000"/>
          <w:sz w:val="28"/>
          <w:szCs w:val="28"/>
        </w:rPr>
      </w:pPr>
      <w:proofErr w:type="gramStart"/>
      <w:r w:rsidRPr="00BA5891">
        <w:rPr>
          <w:color w:val="000000"/>
          <w:sz w:val="28"/>
          <w:szCs w:val="28"/>
        </w:rPr>
        <w:t>Так, основополагающими законодательными актами  Республики Казахстан являются Экологический Кодекс Республики Казахстан, Закон о санитарно-эпидемиологическом благополучии населения, Земельный, Водный и Лесной кодексы РК, а также з</w:t>
      </w:r>
      <w:r w:rsidRPr="00BA5891">
        <w:rPr>
          <w:color w:val="000000"/>
          <w:sz w:val="28"/>
          <w:szCs w:val="28"/>
        </w:rPr>
        <w:t>а</w:t>
      </w:r>
      <w:r w:rsidRPr="00BA5891">
        <w:rPr>
          <w:color w:val="000000"/>
          <w:sz w:val="28"/>
          <w:szCs w:val="28"/>
        </w:rPr>
        <w:t xml:space="preserve">коны Республики Казахстан о недрах и </w:t>
      </w:r>
      <w:proofErr w:type="spellStart"/>
      <w:r w:rsidRPr="00BA5891">
        <w:rPr>
          <w:color w:val="000000"/>
          <w:sz w:val="28"/>
          <w:szCs w:val="28"/>
        </w:rPr>
        <w:t>недропользовании</w:t>
      </w:r>
      <w:proofErr w:type="spellEnd"/>
      <w:r w:rsidRPr="00BA5891">
        <w:rPr>
          <w:color w:val="000000"/>
          <w:sz w:val="28"/>
          <w:szCs w:val="28"/>
        </w:rPr>
        <w:t>,  об охране, воспр</w:t>
      </w:r>
      <w:r w:rsidRPr="00BA5891">
        <w:rPr>
          <w:color w:val="000000"/>
          <w:sz w:val="28"/>
          <w:szCs w:val="28"/>
        </w:rPr>
        <w:t>о</w:t>
      </w:r>
      <w:r w:rsidRPr="00BA5891">
        <w:rPr>
          <w:color w:val="000000"/>
          <w:sz w:val="28"/>
          <w:szCs w:val="28"/>
        </w:rPr>
        <w:t>изводстве и использовании животного мира, об особо охраняемых природных террит</w:t>
      </w:r>
      <w:r w:rsidRPr="00BA5891">
        <w:rPr>
          <w:color w:val="000000"/>
          <w:sz w:val="28"/>
          <w:szCs w:val="28"/>
        </w:rPr>
        <w:t>о</w:t>
      </w:r>
      <w:r w:rsidRPr="00BA5891">
        <w:rPr>
          <w:color w:val="000000"/>
          <w:sz w:val="28"/>
          <w:szCs w:val="28"/>
        </w:rPr>
        <w:t>риях,  чрезвычайных ситуаций природного и техногенного характера, пр</w:t>
      </w:r>
      <w:r w:rsidRPr="00BA5891">
        <w:rPr>
          <w:color w:val="000000"/>
          <w:sz w:val="28"/>
          <w:szCs w:val="28"/>
        </w:rPr>
        <w:t>о</w:t>
      </w:r>
      <w:r w:rsidRPr="00BA5891">
        <w:rPr>
          <w:color w:val="000000"/>
          <w:sz w:val="28"/>
          <w:szCs w:val="28"/>
        </w:rPr>
        <w:t>мышленной безопасности на опасных производственных объектах.</w:t>
      </w:r>
      <w:proofErr w:type="gramEnd"/>
      <w:r w:rsidRPr="00BA5891">
        <w:rPr>
          <w:color w:val="000000"/>
          <w:sz w:val="28"/>
          <w:szCs w:val="28"/>
        </w:rPr>
        <w:t xml:space="preserve"> К чис</w:t>
      </w:r>
      <w:r>
        <w:rPr>
          <w:color w:val="000000"/>
          <w:sz w:val="28"/>
          <w:szCs w:val="28"/>
        </w:rPr>
        <w:t>лу нормативно-технических законо</w:t>
      </w:r>
      <w:r w:rsidRPr="00BA5891">
        <w:rPr>
          <w:color w:val="000000"/>
          <w:sz w:val="28"/>
          <w:szCs w:val="28"/>
        </w:rPr>
        <w:t>дательных актов относятся санитарные нормы и правила,  государственные стандарты по охране природы и некоторые другие.</w:t>
      </w:r>
    </w:p>
    <w:p w:rsidR="00BE2AFF" w:rsidRPr="00B615DF" w:rsidRDefault="00BE2AFF" w:rsidP="00BE2AFF">
      <w:pPr>
        <w:tabs>
          <w:tab w:val="left" w:pos="72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Например,  при наличии такого аспекта как </w:t>
      </w:r>
      <w:r w:rsidRPr="00B615DF">
        <w:rPr>
          <w:sz w:val="28"/>
          <w:szCs w:val="28"/>
        </w:rPr>
        <w:t xml:space="preserve"> «выбросы сернистого </w:t>
      </w:r>
      <w:proofErr w:type="spellStart"/>
      <w:proofErr w:type="gramStart"/>
      <w:r w:rsidRPr="00B615DF">
        <w:rPr>
          <w:sz w:val="28"/>
          <w:szCs w:val="28"/>
        </w:rPr>
        <w:t>анги</w:t>
      </w:r>
      <w:r>
        <w:rPr>
          <w:sz w:val="28"/>
          <w:szCs w:val="28"/>
        </w:rPr>
        <w:t>-</w:t>
      </w:r>
      <w:r w:rsidRPr="00B615DF">
        <w:rPr>
          <w:sz w:val="28"/>
          <w:szCs w:val="28"/>
        </w:rPr>
        <w:t>дрида</w:t>
      </w:r>
      <w:proofErr w:type="spellEnd"/>
      <w:proofErr w:type="gramEnd"/>
      <w:r w:rsidRPr="00B615DF">
        <w:rPr>
          <w:sz w:val="28"/>
          <w:szCs w:val="28"/>
        </w:rPr>
        <w:t>»</w:t>
      </w:r>
      <w:r>
        <w:rPr>
          <w:sz w:val="28"/>
          <w:szCs w:val="28"/>
        </w:rPr>
        <w:t>, который</w:t>
      </w:r>
      <w:r w:rsidRPr="00B615DF">
        <w:rPr>
          <w:sz w:val="28"/>
          <w:szCs w:val="28"/>
        </w:rPr>
        <w:t xml:space="preserve"> подчиняется требованиям Экологического Кодекса РК</w:t>
      </w:r>
      <w:r>
        <w:rPr>
          <w:sz w:val="28"/>
          <w:szCs w:val="28"/>
        </w:rPr>
        <w:t xml:space="preserve"> и он должен быть включен в регистр.</w:t>
      </w:r>
    </w:p>
    <w:p w:rsidR="00281AC6" w:rsidRDefault="00BE2AFF" w:rsidP="00BE2AFF">
      <w:r w:rsidRPr="00B615DF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  </w:t>
      </w:r>
    </w:p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2AFF"/>
    <w:rsid w:val="00281AC6"/>
    <w:rsid w:val="00A05900"/>
    <w:rsid w:val="00BE2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A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2020-08-31T17:56:00Z</dcterms:created>
  <dcterms:modified xsi:type="dcterms:W3CDTF">2020-08-31T17:56:00Z</dcterms:modified>
</cp:coreProperties>
</file>